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2F1A" w14:textId="77777777" w:rsidR="003E4EEF" w:rsidRPr="00910473" w:rsidRDefault="003E4EEF" w:rsidP="00910473">
      <w:pPr>
        <w:spacing w:line="360" w:lineRule="auto"/>
      </w:pPr>
    </w:p>
    <w:p w14:paraId="09904073" w14:textId="77777777" w:rsidR="006B5B77" w:rsidRPr="00910473" w:rsidRDefault="00800EDC" w:rsidP="00910473">
      <w:pPr>
        <w:spacing w:line="360" w:lineRule="auto"/>
        <w:ind w:left="103"/>
        <w:rPr>
          <w:bCs/>
          <w:lang w:val="en-US"/>
        </w:rPr>
      </w:pPr>
      <w:r>
        <w:rPr>
          <w:bCs/>
          <w:lang w:val="en-US"/>
        </w:rPr>
      </w:r>
      <w:r>
        <w:rPr>
          <w:bCs/>
          <w:lang w:val="en-US"/>
        </w:rPr>
        <w:pict w14:anchorId="13D0B6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8FE75C7" w14:textId="469C7B1C" w:rsidR="006B5B77" w:rsidRDefault="006B5B77" w:rsidP="006B5B7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INTERNAL MEDICINE</w:t>
                  </w:r>
                </w:p>
                <w:p w14:paraId="64F93153" w14:textId="1B0FC7E0" w:rsidR="006B5B77" w:rsidRDefault="006B5B77" w:rsidP="006B5B7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(PHASE 6)</w:t>
                  </w:r>
                </w:p>
              </w:txbxContent>
            </v:textbox>
            <w10:anchorlock/>
          </v:shape>
        </w:pict>
      </w:r>
    </w:p>
    <w:p w14:paraId="7E05389E" w14:textId="77777777" w:rsidR="006B5B77" w:rsidRPr="00910473" w:rsidRDefault="006B5B77" w:rsidP="00910473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6B5B77" w:rsidRPr="00910473" w14:paraId="7AAA5850" w14:textId="77777777" w:rsidTr="00097C69">
        <w:trPr>
          <w:trHeight w:val="411"/>
        </w:trPr>
        <w:tc>
          <w:tcPr>
            <w:tcW w:w="9944" w:type="dxa"/>
            <w:gridSpan w:val="2"/>
            <w:shd w:val="clear" w:color="auto" w:fill="93B3D5"/>
          </w:tcPr>
          <w:p w14:paraId="2959F21F" w14:textId="5FB26539" w:rsidR="006B5B77" w:rsidRPr="00910473" w:rsidRDefault="00A0679D" w:rsidP="00910473">
            <w:pPr>
              <w:pStyle w:val="TableParagraph"/>
              <w:spacing w:before="0" w:line="360" w:lineRule="auto"/>
              <w:ind w:right="1363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LEARNING AIM(S)</w:t>
            </w:r>
          </w:p>
        </w:tc>
      </w:tr>
      <w:tr w:rsidR="006B5B77" w:rsidRPr="00910473" w14:paraId="534B2B81" w14:textId="77777777" w:rsidTr="00097C69">
        <w:trPr>
          <w:trHeight w:val="559"/>
        </w:trPr>
        <w:tc>
          <w:tcPr>
            <w:tcW w:w="664" w:type="dxa"/>
          </w:tcPr>
          <w:p w14:paraId="740AF915" w14:textId="77777777" w:rsidR="006B5B77" w:rsidRPr="00910473" w:rsidRDefault="006B5B77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64029CED" w14:textId="54274B85" w:rsidR="009D7DDC" w:rsidRPr="00910473" w:rsidRDefault="00C46397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In this course, it is aimed that the students understand the basics of the approach to internal diseases that are common and may require urgent intervention.</w:t>
            </w:r>
          </w:p>
        </w:tc>
      </w:tr>
      <w:tr w:rsidR="006B5B77" w:rsidRPr="00910473" w14:paraId="4CC44820" w14:textId="77777777" w:rsidTr="00097C69">
        <w:trPr>
          <w:trHeight w:val="539"/>
        </w:trPr>
        <w:tc>
          <w:tcPr>
            <w:tcW w:w="664" w:type="dxa"/>
          </w:tcPr>
          <w:p w14:paraId="05D0D3ED" w14:textId="77777777" w:rsidR="006B5B77" w:rsidRPr="00910473" w:rsidRDefault="006B5B77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375ED954" w14:textId="496128F6" w:rsidR="0010617B" w:rsidRPr="00910473" w:rsidRDefault="0010617B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In this course, it is aimed that the students get to know the patients effectively and make practical application and treatment approaches at the primary care level.</w:t>
            </w:r>
          </w:p>
        </w:tc>
      </w:tr>
      <w:tr w:rsidR="006B5B77" w:rsidRPr="00910473" w14:paraId="143A45E2" w14:textId="77777777" w:rsidTr="00097C69">
        <w:trPr>
          <w:trHeight w:val="419"/>
        </w:trPr>
        <w:tc>
          <w:tcPr>
            <w:tcW w:w="664" w:type="dxa"/>
          </w:tcPr>
          <w:p w14:paraId="210FE0F3" w14:textId="77777777" w:rsidR="006B5B77" w:rsidRPr="00910473" w:rsidRDefault="006B5B77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79357E46" w14:textId="619C8DEF" w:rsidR="00EB16D2" w:rsidRPr="00910473" w:rsidRDefault="00EB16D2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In this course, it is aimed that the students have the necessary knowledge and skills to distinguish the patients who need to be referred to a higher level or a different branch.</w:t>
            </w:r>
          </w:p>
        </w:tc>
      </w:tr>
    </w:tbl>
    <w:p w14:paraId="1A97ABB9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6B5B77" w:rsidRPr="00910473" w14:paraId="7DB0388A" w14:textId="77777777" w:rsidTr="00097C69">
        <w:trPr>
          <w:trHeight w:val="474"/>
        </w:trPr>
        <w:tc>
          <w:tcPr>
            <w:tcW w:w="9944" w:type="dxa"/>
            <w:gridSpan w:val="2"/>
            <w:shd w:val="clear" w:color="auto" w:fill="93B3D5"/>
          </w:tcPr>
          <w:p w14:paraId="5481413A" w14:textId="0AD9BAF3" w:rsidR="006B5B77" w:rsidRPr="00910473" w:rsidRDefault="005F756F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LEARNING OBJECTIVE(S)</w:t>
            </w:r>
          </w:p>
        </w:tc>
      </w:tr>
      <w:tr w:rsidR="006B5B77" w:rsidRPr="00910473" w14:paraId="1704983E" w14:textId="77777777" w:rsidTr="00097C69">
        <w:trPr>
          <w:trHeight w:val="1054"/>
        </w:trPr>
        <w:tc>
          <w:tcPr>
            <w:tcW w:w="664" w:type="dxa"/>
          </w:tcPr>
          <w:p w14:paraId="6C760A9B" w14:textId="77777777" w:rsidR="006B5B77" w:rsidRPr="00910473" w:rsidRDefault="006B5B77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0781BB8C" w14:textId="3FAC217C" w:rsidR="00A40F2F" w:rsidRPr="00910473" w:rsidRDefault="00A40F2F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To be able to question the symptoms of internal diseases during history taking and physical examination, to be able to recognize these symptoms in the examination, </w:t>
            </w:r>
            <w:r w:rsidR="007C607A" w:rsidRPr="00910473">
              <w:rPr>
                <w:lang w:val="en-US"/>
              </w:rPr>
              <w:t>t</w:t>
            </w:r>
            <w:r w:rsidR="00A5283E" w:rsidRPr="00910473">
              <w:rPr>
                <w:lang w:val="en-US"/>
              </w:rPr>
              <w:t xml:space="preserve">o be able to </w:t>
            </w:r>
            <w:r w:rsidRPr="00910473">
              <w:rPr>
                <w:lang w:val="en-US"/>
              </w:rPr>
              <w:t xml:space="preserve">request and interpret the necessary tests at the first stage, </w:t>
            </w:r>
            <w:r w:rsidR="00A5283E" w:rsidRPr="00910473">
              <w:rPr>
                <w:lang w:val="en-US"/>
              </w:rPr>
              <w:t xml:space="preserve">to be able to </w:t>
            </w:r>
            <w:r w:rsidRPr="00910473">
              <w:rPr>
                <w:lang w:val="en-US"/>
              </w:rPr>
              <w:t xml:space="preserve">treat common diseases in the community, </w:t>
            </w:r>
            <w:r w:rsidR="00A5283E" w:rsidRPr="00910473">
              <w:rPr>
                <w:lang w:val="en-US"/>
              </w:rPr>
              <w:t xml:space="preserve">to be able to </w:t>
            </w:r>
            <w:r w:rsidRPr="00910473">
              <w:rPr>
                <w:lang w:val="en-US"/>
              </w:rPr>
              <w:t>determi</w:t>
            </w:r>
            <w:r w:rsidR="00A5283E" w:rsidRPr="00910473">
              <w:rPr>
                <w:lang w:val="en-US"/>
              </w:rPr>
              <w:t xml:space="preserve">ne </w:t>
            </w:r>
            <w:r w:rsidRPr="00910473">
              <w:rPr>
                <w:lang w:val="en-US"/>
              </w:rPr>
              <w:t>which patients should be evaluated by a specialist.</w:t>
            </w:r>
          </w:p>
        </w:tc>
      </w:tr>
      <w:tr w:rsidR="007C607A" w:rsidRPr="00910473" w14:paraId="39CC307E" w14:textId="77777777" w:rsidTr="00097C69">
        <w:trPr>
          <w:trHeight w:val="645"/>
        </w:trPr>
        <w:tc>
          <w:tcPr>
            <w:tcW w:w="664" w:type="dxa"/>
          </w:tcPr>
          <w:p w14:paraId="265146B6" w14:textId="77777777" w:rsidR="007C607A" w:rsidRPr="00910473" w:rsidRDefault="007C607A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171272D6" w14:textId="6219D1D2" w:rsidR="007C607A" w:rsidRPr="00910473" w:rsidRDefault="007C607A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To be able to evaluate the results of complete blood count and peripheral blood smear and make comments about the result.</w:t>
            </w:r>
          </w:p>
        </w:tc>
      </w:tr>
      <w:tr w:rsidR="007C607A" w:rsidRPr="00910473" w14:paraId="3F473B24" w14:textId="77777777" w:rsidTr="00097C69">
        <w:trPr>
          <w:trHeight w:val="555"/>
        </w:trPr>
        <w:tc>
          <w:tcPr>
            <w:tcW w:w="664" w:type="dxa"/>
          </w:tcPr>
          <w:p w14:paraId="696D26D1" w14:textId="77777777" w:rsidR="007C607A" w:rsidRPr="00910473" w:rsidRDefault="007C607A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1B76FFFD" w14:textId="573B2799" w:rsidR="007C607A" w:rsidRPr="00910473" w:rsidRDefault="007C607A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To be able to perform urinalysis, interpret basic laboratory (blood count, biochemistry, serology, blood gas) results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D63E1B" w:rsidRPr="00910473" w14:paraId="0B99E758" w14:textId="77777777" w:rsidTr="00097C69">
        <w:trPr>
          <w:trHeight w:val="421"/>
        </w:trPr>
        <w:tc>
          <w:tcPr>
            <w:tcW w:w="664" w:type="dxa"/>
          </w:tcPr>
          <w:p w14:paraId="2AB4B0B1" w14:textId="77777777" w:rsidR="00D63E1B" w:rsidRPr="00910473" w:rsidRDefault="00D63E1B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4</w:t>
            </w:r>
          </w:p>
        </w:tc>
        <w:tc>
          <w:tcPr>
            <w:tcW w:w="9280" w:type="dxa"/>
          </w:tcPr>
          <w:p w14:paraId="70EB3D41" w14:textId="00996B6B" w:rsidR="00D63E1B" w:rsidRPr="00910473" w:rsidRDefault="00D63E1B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To be able to request basic radiological examinations according to appropriate indications and interpret the results.</w:t>
            </w:r>
          </w:p>
        </w:tc>
      </w:tr>
      <w:tr w:rsidR="00D63E1B" w:rsidRPr="00910473" w14:paraId="4A680AE2" w14:textId="77777777" w:rsidTr="00097C69">
        <w:trPr>
          <w:trHeight w:val="481"/>
        </w:trPr>
        <w:tc>
          <w:tcPr>
            <w:tcW w:w="664" w:type="dxa"/>
          </w:tcPr>
          <w:p w14:paraId="2A4CD0D8" w14:textId="77777777" w:rsidR="00D63E1B" w:rsidRPr="00910473" w:rsidRDefault="00D63E1B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5</w:t>
            </w:r>
          </w:p>
        </w:tc>
        <w:tc>
          <w:tcPr>
            <w:tcW w:w="9280" w:type="dxa"/>
          </w:tcPr>
          <w:p w14:paraId="5FF4B8F2" w14:textId="0B894C64" w:rsidR="00D63E1B" w:rsidRPr="00910473" w:rsidRDefault="00D63E1B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To be able to </w:t>
            </w:r>
            <w:r w:rsidR="003E4EEF" w:rsidRPr="00910473">
              <w:rPr>
                <w:lang w:val="en-US"/>
              </w:rPr>
              <w:t>recognize</w:t>
            </w:r>
            <w:r w:rsidRPr="00910473">
              <w:rPr>
                <w:lang w:val="en-US"/>
              </w:rPr>
              <w:t xml:space="preserve"> electrolyte and acid-base disorders and applying the first approach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D63E1B" w:rsidRPr="00910473" w14:paraId="3E57298D" w14:textId="77777777" w:rsidTr="00097C69">
        <w:trPr>
          <w:trHeight w:val="482"/>
        </w:trPr>
        <w:tc>
          <w:tcPr>
            <w:tcW w:w="664" w:type="dxa"/>
          </w:tcPr>
          <w:p w14:paraId="14765A51" w14:textId="77777777" w:rsidR="00D63E1B" w:rsidRPr="00910473" w:rsidRDefault="00D63E1B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6</w:t>
            </w:r>
          </w:p>
        </w:tc>
        <w:tc>
          <w:tcPr>
            <w:tcW w:w="9280" w:type="dxa"/>
          </w:tcPr>
          <w:p w14:paraId="1B73A394" w14:textId="136B041B" w:rsidR="00D63E1B" w:rsidRPr="00910473" w:rsidRDefault="00D63E1B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To be able to take and interpret ECG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D63E1B" w:rsidRPr="00910473" w14:paraId="75C783A6" w14:textId="77777777" w:rsidTr="00097C69">
        <w:trPr>
          <w:trHeight w:val="482"/>
        </w:trPr>
        <w:tc>
          <w:tcPr>
            <w:tcW w:w="664" w:type="dxa"/>
          </w:tcPr>
          <w:p w14:paraId="30E1D652" w14:textId="77777777" w:rsidR="00D63E1B" w:rsidRPr="00910473" w:rsidRDefault="00D63E1B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7</w:t>
            </w:r>
          </w:p>
        </w:tc>
        <w:tc>
          <w:tcPr>
            <w:tcW w:w="9280" w:type="dxa"/>
          </w:tcPr>
          <w:p w14:paraId="62E7E84B" w14:textId="2D443DDE" w:rsidR="00D63E1B" w:rsidRPr="00910473" w:rsidRDefault="00D63E1B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To be able to open vascular access, ability to be able to administer iv, </w:t>
            </w:r>
            <w:proofErr w:type="spellStart"/>
            <w:r w:rsidRPr="00910473">
              <w:rPr>
                <w:lang w:val="en-US"/>
              </w:rPr>
              <w:t>im</w:t>
            </w:r>
            <w:proofErr w:type="spellEnd"/>
            <w:r w:rsidRPr="00910473">
              <w:rPr>
                <w:lang w:val="en-US"/>
              </w:rPr>
              <w:t xml:space="preserve">. and </w:t>
            </w:r>
            <w:proofErr w:type="spellStart"/>
            <w:r w:rsidRPr="00910473">
              <w:rPr>
                <w:lang w:val="en-US"/>
              </w:rPr>
              <w:t>sc</w:t>
            </w:r>
            <w:proofErr w:type="spellEnd"/>
            <w:r w:rsidRPr="00910473">
              <w:rPr>
                <w:lang w:val="en-US"/>
              </w:rPr>
              <w:t xml:space="preserve"> treatments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15FBE9BA" w14:textId="77777777" w:rsidTr="00097C69">
        <w:trPr>
          <w:trHeight w:val="414"/>
        </w:trPr>
        <w:tc>
          <w:tcPr>
            <w:tcW w:w="664" w:type="dxa"/>
          </w:tcPr>
          <w:p w14:paraId="0212618F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8</w:t>
            </w:r>
          </w:p>
        </w:tc>
        <w:tc>
          <w:tcPr>
            <w:tcW w:w="9280" w:type="dxa"/>
          </w:tcPr>
          <w:p w14:paraId="16354DF2" w14:textId="4544DC10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To be able to perform procedures such as blood gas taking, paracentesis and thoracentesis applications, urinary </w:t>
            </w:r>
            <w:proofErr w:type="gramStart"/>
            <w:r w:rsidRPr="00910473">
              <w:rPr>
                <w:lang w:val="en-US"/>
              </w:rPr>
              <w:t>catheterization</w:t>
            </w:r>
            <w:proofErr w:type="gramEnd"/>
            <w:r w:rsidRPr="00910473">
              <w:rPr>
                <w:lang w:val="en-US"/>
              </w:rPr>
              <w:t xml:space="preserve"> and nasogastric tube insertion.</w:t>
            </w:r>
          </w:p>
        </w:tc>
      </w:tr>
      <w:tr w:rsidR="005E4881" w:rsidRPr="00910473" w14:paraId="033C2805" w14:textId="77777777" w:rsidTr="00097C69">
        <w:trPr>
          <w:trHeight w:val="482"/>
        </w:trPr>
        <w:tc>
          <w:tcPr>
            <w:tcW w:w="664" w:type="dxa"/>
          </w:tcPr>
          <w:p w14:paraId="7C424082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9</w:t>
            </w:r>
          </w:p>
        </w:tc>
        <w:tc>
          <w:tcPr>
            <w:tcW w:w="9280" w:type="dxa"/>
          </w:tcPr>
          <w:p w14:paraId="14B1C76C" w14:textId="2E064790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To be able to </w:t>
            </w:r>
            <w:r w:rsidR="003E4EEF" w:rsidRPr="00910473">
              <w:rPr>
                <w:lang w:val="en-US"/>
              </w:rPr>
              <w:t>prepare</w:t>
            </w:r>
            <w:r w:rsidRPr="00910473">
              <w:rPr>
                <w:lang w:val="en-US"/>
              </w:rPr>
              <w:t xml:space="preserve"> the patient's medical file and </w:t>
            </w:r>
            <w:proofErr w:type="gramStart"/>
            <w:r w:rsidRPr="00910473">
              <w:rPr>
                <w:lang w:val="en-US"/>
              </w:rPr>
              <w:t>To</w:t>
            </w:r>
            <w:proofErr w:type="gramEnd"/>
            <w:r w:rsidRPr="00910473">
              <w:rPr>
                <w:lang w:val="en-US"/>
              </w:rPr>
              <w:t xml:space="preserve"> be able to monitor the patient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246A97C0" w14:textId="77777777" w:rsidTr="00097C69">
        <w:trPr>
          <w:trHeight w:val="466"/>
        </w:trPr>
        <w:tc>
          <w:tcPr>
            <w:tcW w:w="664" w:type="dxa"/>
          </w:tcPr>
          <w:p w14:paraId="35D7FA9E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10</w:t>
            </w:r>
          </w:p>
        </w:tc>
        <w:tc>
          <w:tcPr>
            <w:tcW w:w="9280" w:type="dxa"/>
          </w:tcPr>
          <w:p w14:paraId="39B65F16" w14:textId="41F437F4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To be able to behave ethically and deontologically to society, patients and their relatives, colleagues</w:t>
            </w:r>
            <w:r w:rsidR="00910473" w:rsidRPr="00910473">
              <w:rPr>
                <w:lang w:val="en-US"/>
              </w:rPr>
              <w:t>.</w:t>
            </w:r>
          </w:p>
        </w:tc>
      </w:tr>
    </w:tbl>
    <w:p w14:paraId="284C628A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56D0E0B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3C08188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5B360776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5B9872DA" w14:textId="77777777" w:rsidR="009D7DDC" w:rsidRPr="00910473" w:rsidRDefault="009D7DDC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42C91787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379871D5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9280"/>
      </w:tblGrid>
      <w:tr w:rsidR="006B5B77" w:rsidRPr="00910473" w14:paraId="1DE3007B" w14:textId="77777777" w:rsidTr="00097C69">
        <w:trPr>
          <w:trHeight w:val="556"/>
        </w:trPr>
        <w:tc>
          <w:tcPr>
            <w:tcW w:w="9944" w:type="dxa"/>
            <w:gridSpan w:val="2"/>
            <w:shd w:val="clear" w:color="auto" w:fill="93B3D5"/>
          </w:tcPr>
          <w:p w14:paraId="6E53BF69" w14:textId="1628816F" w:rsidR="006B5B77" w:rsidRPr="00910473" w:rsidRDefault="009D7DDC" w:rsidP="00910473">
            <w:pPr>
              <w:pStyle w:val="TableParagraph"/>
              <w:spacing w:before="0" w:line="360" w:lineRule="auto"/>
              <w:ind w:right="1363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INTENDED LEARNING OUTCOME(S)</w:t>
            </w:r>
          </w:p>
        </w:tc>
      </w:tr>
      <w:tr w:rsidR="005E4881" w:rsidRPr="00910473" w14:paraId="7DEAB6B0" w14:textId="77777777" w:rsidTr="00097C69">
        <w:trPr>
          <w:trHeight w:val="1140"/>
        </w:trPr>
        <w:tc>
          <w:tcPr>
            <w:tcW w:w="664" w:type="dxa"/>
          </w:tcPr>
          <w:p w14:paraId="2896205D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1</w:t>
            </w:r>
          </w:p>
        </w:tc>
        <w:tc>
          <w:tcPr>
            <w:tcW w:w="9280" w:type="dxa"/>
          </w:tcPr>
          <w:p w14:paraId="226453AC" w14:textId="261E2FAD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Can question the symptoms of internal diseases during history taking and physical examination, </w:t>
            </w:r>
            <w:r w:rsidR="003E4EEF" w:rsidRPr="00910473">
              <w:rPr>
                <w:lang w:val="en-US"/>
              </w:rPr>
              <w:t>c</w:t>
            </w:r>
            <w:r w:rsidRPr="00910473">
              <w:rPr>
                <w:lang w:val="en-US"/>
              </w:rPr>
              <w:t xml:space="preserve">an recognize these symptoms in the examination, </w:t>
            </w:r>
            <w:r w:rsidR="003E4EEF" w:rsidRPr="00910473">
              <w:rPr>
                <w:lang w:val="en-US"/>
              </w:rPr>
              <w:t>c</w:t>
            </w:r>
            <w:r w:rsidRPr="00910473">
              <w:rPr>
                <w:lang w:val="en-US"/>
              </w:rPr>
              <w:t xml:space="preserve">an request and interpret the necessary tests at the first stage, </w:t>
            </w:r>
            <w:r w:rsidR="003E4EEF" w:rsidRPr="00910473">
              <w:rPr>
                <w:lang w:val="en-US"/>
              </w:rPr>
              <w:t>c</w:t>
            </w:r>
            <w:r w:rsidRPr="00910473">
              <w:rPr>
                <w:lang w:val="en-US"/>
              </w:rPr>
              <w:t xml:space="preserve">an treat common diseases in the community, </w:t>
            </w:r>
            <w:r w:rsidR="003E4EEF" w:rsidRPr="00910473">
              <w:rPr>
                <w:lang w:val="en-US"/>
              </w:rPr>
              <w:t>c</w:t>
            </w:r>
            <w:r w:rsidRPr="00910473">
              <w:rPr>
                <w:lang w:val="en-US"/>
              </w:rPr>
              <w:t>an determine which patients should be evaluated by a specialist.</w:t>
            </w:r>
          </w:p>
        </w:tc>
      </w:tr>
      <w:tr w:rsidR="005E4881" w:rsidRPr="00910473" w14:paraId="08B76B36" w14:textId="77777777" w:rsidTr="00097C69">
        <w:trPr>
          <w:trHeight w:val="538"/>
        </w:trPr>
        <w:tc>
          <w:tcPr>
            <w:tcW w:w="664" w:type="dxa"/>
          </w:tcPr>
          <w:p w14:paraId="306F6989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2</w:t>
            </w:r>
          </w:p>
        </w:tc>
        <w:tc>
          <w:tcPr>
            <w:tcW w:w="9280" w:type="dxa"/>
          </w:tcPr>
          <w:p w14:paraId="3D308051" w14:textId="1CFDE0D0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Can evaluate the results of complete blood count and peripheral blood smear and make comments about the result.</w:t>
            </w:r>
          </w:p>
        </w:tc>
      </w:tr>
      <w:tr w:rsidR="005E4881" w:rsidRPr="00910473" w14:paraId="2FD44D10" w14:textId="77777777" w:rsidTr="00097C69">
        <w:trPr>
          <w:trHeight w:val="565"/>
        </w:trPr>
        <w:tc>
          <w:tcPr>
            <w:tcW w:w="664" w:type="dxa"/>
          </w:tcPr>
          <w:p w14:paraId="7F98AA8A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3</w:t>
            </w:r>
          </w:p>
        </w:tc>
        <w:tc>
          <w:tcPr>
            <w:tcW w:w="9280" w:type="dxa"/>
          </w:tcPr>
          <w:p w14:paraId="1ED36B9E" w14:textId="511360E9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Can perform urinalysis, interpret basic laboratory (blood count, biochemistry, serology, blood gas) results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01509EBE" w14:textId="77777777" w:rsidTr="00097C69">
        <w:trPr>
          <w:trHeight w:val="417"/>
        </w:trPr>
        <w:tc>
          <w:tcPr>
            <w:tcW w:w="664" w:type="dxa"/>
          </w:tcPr>
          <w:p w14:paraId="7E9D2F48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4</w:t>
            </w:r>
          </w:p>
        </w:tc>
        <w:tc>
          <w:tcPr>
            <w:tcW w:w="9280" w:type="dxa"/>
          </w:tcPr>
          <w:p w14:paraId="6F2BE081" w14:textId="2BE94C88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Can request basic radiological examinations according to appropriate indications and interpret the results.</w:t>
            </w:r>
          </w:p>
        </w:tc>
      </w:tr>
      <w:tr w:rsidR="005E4881" w:rsidRPr="00910473" w14:paraId="0AAA25E7" w14:textId="77777777" w:rsidTr="00097C69">
        <w:trPr>
          <w:trHeight w:val="478"/>
        </w:trPr>
        <w:tc>
          <w:tcPr>
            <w:tcW w:w="664" w:type="dxa"/>
          </w:tcPr>
          <w:p w14:paraId="0CE68577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5</w:t>
            </w:r>
          </w:p>
        </w:tc>
        <w:tc>
          <w:tcPr>
            <w:tcW w:w="9280" w:type="dxa"/>
          </w:tcPr>
          <w:p w14:paraId="029AE0AE" w14:textId="6F79993E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Can </w:t>
            </w:r>
            <w:r w:rsidR="003E4EEF" w:rsidRPr="00910473">
              <w:rPr>
                <w:lang w:val="en-US"/>
              </w:rPr>
              <w:t>recognize</w:t>
            </w:r>
            <w:r w:rsidRPr="00910473">
              <w:rPr>
                <w:lang w:val="en-US"/>
              </w:rPr>
              <w:t xml:space="preserve"> electrolyte and acid-base disorders and applying the first approach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3D9A4F3B" w14:textId="77777777" w:rsidTr="00097C69">
        <w:trPr>
          <w:trHeight w:val="482"/>
        </w:trPr>
        <w:tc>
          <w:tcPr>
            <w:tcW w:w="664" w:type="dxa"/>
          </w:tcPr>
          <w:p w14:paraId="3C7CD0F8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6</w:t>
            </w:r>
          </w:p>
        </w:tc>
        <w:tc>
          <w:tcPr>
            <w:tcW w:w="9280" w:type="dxa"/>
          </w:tcPr>
          <w:p w14:paraId="1B699C35" w14:textId="26F8CE1F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Can take and interpret ECG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256DA333" w14:textId="77777777" w:rsidTr="00097C69">
        <w:trPr>
          <w:trHeight w:val="481"/>
        </w:trPr>
        <w:tc>
          <w:tcPr>
            <w:tcW w:w="664" w:type="dxa"/>
          </w:tcPr>
          <w:p w14:paraId="63DE6A31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7</w:t>
            </w:r>
          </w:p>
        </w:tc>
        <w:tc>
          <w:tcPr>
            <w:tcW w:w="9280" w:type="dxa"/>
          </w:tcPr>
          <w:p w14:paraId="669CB8E2" w14:textId="6D4DBA1A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Can open vascular access, ability Can administer iv, </w:t>
            </w:r>
            <w:proofErr w:type="spellStart"/>
            <w:r w:rsidRPr="00910473">
              <w:rPr>
                <w:lang w:val="en-US"/>
              </w:rPr>
              <w:t>im</w:t>
            </w:r>
            <w:proofErr w:type="spellEnd"/>
            <w:r w:rsidRPr="00910473">
              <w:rPr>
                <w:lang w:val="en-US"/>
              </w:rPr>
              <w:t xml:space="preserve"> and </w:t>
            </w:r>
            <w:proofErr w:type="spellStart"/>
            <w:r w:rsidRPr="00910473">
              <w:rPr>
                <w:lang w:val="en-US"/>
              </w:rPr>
              <w:t>sc</w:t>
            </w:r>
            <w:proofErr w:type="spellEnd"/>
            <w:r w:rsidRPr="00910473">
              <w:rPr>
                <w:lang w:val="en-US"/>
              </w:rPr>
              <w:t xml:space="preserve"> treatments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6904D791" w14:textId="77777777" w:rsidTr="00097C69">
        <w:trPr>
          <w:trHeight w:val="801"/>
        </w:trPr>
        <w:tc>
          <w:tcPr>
            <w:tcW w:w="664" w:type="dxa"/>
          </w:tcPr>
          <w:p w14:paraId="7A1AA0FC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8</w:t>
            </w:r>
          </w:p>
        </w:tc>
        <w:tc>
          <w:tcPr>
            <w:tcW w:w="9280" w:type="dxa"/>
          </w:tcPr>
          <w:p w14:paraId="6A9ECBFF" w14:textId="49E111F4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Can perform procedures such as blood gas taking, paracentesis and thoracentesis applications, urinary </w:t>
            </w:r>
            <w:r w:rsidR="003E4EEF" w:rsidRPr="00910473">
              <w:rPr>
                <w:lang w:val="en-US"/>
              </w:rPr>
              <w:t>catheterization,</w:t>
            </w:r>
            <w:r w:rsidRPr="00910473">
              <w:rPr>
                <w:lang w:val="en-US"/>
              </w:rPr>
              <w:t xml:space="preserve"> and nasogastric tube insertion.</w:t>
            </w:r>
          </w:p>
        </w:tc>
      </w:tr>
      <w:tr w:rsidR="005E4881" w:rsidRPr="00910473" w14:paraId="431C6EF5" w14:textId="77777777" w:rsidTr="00097C69">
        <w:trPr>
          <w:trHeight w:val="482"/>
        </w:trPr>
        <w:tc>
          <w:tcPr>
            <w:tcW w:w="664" w:type="dxa"/>
          </w:tcPr>
          <w:p w14:paraId="79CEBF06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9</w:t>
            </w:r>
          </w:p>
        </w:tc>
        <w:tc>
          <w:tcPr>
            <w:tcW w:w="9280" w:type="dxa"/>
          </w:tcPr>
          <w:p w14:paraId="0B8331DC" w14:textId="7F8B539A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 xml:space="preserve">Can </w:t>
            </w:r>
            <w:r w:rsidR="003E4EEF" w:rsidRPr="00910473">
              <w:rPr>
                <w:lang w:val="en-US"/>
              </w:rPr>
              <w:t>prepare</w:t>
            </w:r>
            <w:r w:rsidRPr="00910473">
              <w:rPr>
                <w:lang w:val="en-US"/>
              </w:rPr>
              <w:t xml:space="preserve"> the patient's medical file and </w:t>
            </w:r>
            <w:r w:rsidR="003E4EEF" w:rsidRPr="00910473">
              <w:rPr>
                <w:lang w:val="en-US"/>
              </w:rPr>
              <w:t>can</w:t>
            </w:r>
            <w:r w:rsidRPr="00910473">
              <w:rPr>
                <w:lang w:val="en-US"/>
              </w:rPr>
              <w:t xml:space="preserve"> monitor the patient</w:t>
            </w:r>
            <w:r w:rsidR="00910473" w:rsidRPr="00910473">
              <w:rPr>
                <w:lang w:val="en-US"/>
              </w:rPr>
              <w:t>.</w:t>
            </w:r>
          </w:p>
        </w:tc>
      </w:tr>
      <w:tr w:rsidR="005E4881" w:rsidRPr="00910473" w14:paraId="484DCC0B" w14:textId="77777777" w:rsidTr="00097C69">
        <w:trPr>
          <w:trHeight w:val="476"/>
        </w:trPr>
        <w:tc>
          <w:tcPr>
            <w:tcW w:w="664" w:type="dxa"/>
          </w:tcPr>
          <w:p w14:paraId="34D98306" w14:textId="77777777" w:rsidR="005E4881" w:rsidRPr="00910473" w:rsidRDefault="005E4881" w:rsidP="00910473">
            <w:pPr>
              <w:pStyle w:val="TableParagraph"/>
              <w:spacing w:before="0" w:line="360" w:lineRule="auto"/>
              <w:rPr>
                <w:b/>
                <w:lang w:val="en-US"/>
              </w:rPr>
            </w:pPr>
            <w:r w:rsidRPr="00910473">
              <w:rPr>
                <w:b/>
                <w:lang w:val="en-US"/>
              </w:rPr>
              <w:t>10</w:t>
            </w:r>
          </w:p>
        </w:tc>
        <w:tc>
          <w:tcPr>
            <w:tcW w:w="9280" w:type="dxa"/>
          </w:tcPr>
          <w:p w14:paraId="178444BD" w14:textId="1F134A96" w:rsidR="005E4881" w:rsidRPr="00910473" w:rsidRDefault="005E4881" w:rsidP="00910473">
            <w:pPr>
              <w:spacing w:line="360" w:lineRule="auto"/>
              <w:rPr>
                <w:lang w:val="en-US"/>
              </w:rPr>
            </w:pPr>
            <w:r w:rsidRPr="00910473">
              <w:rPr>
                <w:lang w:val="en-US"/>
              </w:rPr>
              <w:t>Can behave ethically and deontologically to society, patients and their relatives, colleagues</w:t>
            </w:r>
            <w:r w:rsidR="00910473" w:rsidRPr="00910473">
              <w:rPr>
                <w:lang w:val="en-US"/>
              </w:rPr>
              <w:t>.</w:t>
            </w:r>
          </w:p>
        </w:tc>
      </w:tr>
    </w:tbl>
    <w:p w14:paraId="6B99A37A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0021653A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C3516BF" w14:textId="77777777" w:rsidR="006B5B77" w:rsidRPr="00910473" w:rsidRDefault="006B5B77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89E1430" w14:textId="77777777" w:rsidR="006F58F6" w:rsidRPr="00910473" w:rsidRDefault="006F58F6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89E1431" w14:textId="77777777" w:rsidR="006F58F6" w:rsidRPr="00910473" w:rsidRDefault="006F58F6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89E1432" w14:textId="77777777" w:rsidR="006F58F6" w:rsidRPr="00910473" w:rsidRDefault="006F58F6" w:rsidP="00910473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189E1453" w14:textId="77777777" w:rsidR="00993B6B" w:rsidRPr="00910473" w:rsidRDefault="00993B6B" w:rsidP="00910473">
      <w:pPr>
        <w:spacing w:line="360" w:lineRule="auto"/>
        <w:rPr>
          <w:lang w:val="en-US"/>
        </w:rPr>
      </w:pPr>
    </w:p>
    <w:sectPr w:rsidR="00993B6B" w:rsidRPr="00910473">
      <w:pgSz w:w="11920" w:h="16840"/>
      <w:pgMar w:top="1600" w:right="14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F6"/>
    <w:rsid w:val="0010617B"/>
    <w:rsid w:val="00236516"/>
    <w:rsid w:val="003E4EEF"/>
    <w:rsid w:val="005E4881"/>
    <w:rsid w:val="005F756F"/>
    <w:rsid w:val="006B5B77"/>
    <w:rsid w:val="006F58F6"/>
    <w:rsid w:val="007C607A"/>
    <w:rsid w:val="00800EDC"/>
    <w:rsid w:val="008E4933"/>
    <w:rsid w:val="00902E5E"/>
    <w:rsid w:val="00910473"/>
    <w:rsid w:val="00993B6B"/>
    <w:rsid w:val="009D7DDC"/>
    <w:rsid w:val="00A0679D"/>
    <w:rsid w:val="00A40F2F"/>
    <w:rsid w:val="00A5283E"/>
    <w:rsid w:val="00AA2314"/>
    <w:rsid w:val="00AE2360"/>
    <w:rsid w:val="00B00DDA"/>
    <w:rsid w:val="00B109EB"/>
    <w:rsid w:val="00C46397"/>
    <w:rsid w:val="00D63E1B"/>
    <w:rsid w:val="00DB0E9A"/>
    <w:rsid w:val="00DD7CCB"/>
    <w:rsid w:val="00E15333"/>
    <w:rsid w:val="00EB16D2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E13ED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27</cp:revision>
  <dcterms:created xsi:type="dcterms:W3CDTF">2022-08-22T18:38:00Z</dcterms:created>
  <dcterms:modified xsi:type="dcterms:W3CDTF">2022-08-23T21:02:00Z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